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  <w:r>
        <w:rPr>
          <w:rFonts w:ascii="黑体" w:hAnsi="黑体" w:eastAsia="黑体" w:cs="仿宋_GB2312"/>
        </w:rPr>
        <w:t>1</w:t>
      </w:r>
    </w:p>
    <w:p>
      <w:pPr>
        <w:spacing w:before="289" w:beforeLines="50" w:after="289" w:afterLines="50" w:line="594" w:lineRule="exact"/>
        <w:jc w:val="center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  <w:lang w:eastAsia="zh-CN"/>
        </w:rPr>
        <w:t>宁强县</w:t>
      </w:r>
      <w:r>
        <w:rPr>
          <w:rFonts w:hint="eastAsia" w:ascii="方正小标宋简体" w:hAnsi="仿宋_GB2312" w:cs="仿宋_GB2312"/>
          <w:sz w:val="40"/>
          <w:szCs w:val="36"/>
        </w:rPr>
        <w:t>就业见习单位申报表</w:t>
      </w:r>
    </w:p>
    <w:p>
      <w:pPr>
        <w:spacing w:after="115" w:afterLines="20" w:line="594" w:lineRule="exact"/>
        <w:ind w:firstLine="137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>单位名称（盖章）：                       填报时间：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</w:t>
            </w:r>
            <w:bookmarkStart w:id="11" w:name="_GoBack"/>
            <w:bookmarkEnd w:id="11"/>
            <w:r>
              <w:rPr>
                <w:rFonts w:hint="eastAsia" w:hAnsi="仿宋" w:eastAsia="仿宋_GB2312"/>
                <w:bCs/>
                <w:sz w:val="28"/>
                <w:szCs w:val="28"/>
              </w:rPr>
              <w:t>人数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          信用代码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</w:p>
        </w:tc>
        <w:tc>
          <w:tcPr>
            <w:tcW w:w="522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8" w:name="岗位名称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22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9" w:name="岗位要求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89168c4-352b-466a-b7fc-b7d30124b8c2"/>
  </w:docVars>
  <w:rsids>
    <w:rsidRoot w:val="218B7772"/>
    <w:rsid w:val="054308C8"/>
    <w:rsid w:val="0E6B27C0"/>
    <w:rsid w:val="218B7772"/>
    <w:rsid w:val="411C1395"/>
    <w:rsid w:val="4FA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108</Characters>
  <Lines>0</Lines>
  <Paragraphs>0</Paragraphs>
  <TotalTime>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2020-02-25T08:53:00Z</dcterms:created>
  <dc:creator>静悄悄</dc:creator>
  <cp:lastModifiedBy>安然</cp:lastModifiedBy>
  <cp:lastPrinted>2020-03-16T08:28:00Z</cp:lastPrinted>
  <dcterms:modified xsi:type="dcterms:W3CDTF">2024-12-20T02:25:03Z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6CFCE1CD5B554D5D9A1A0A01F0993BA8_13</vt:lpwstr>
  </property>
</Properties>
</file>